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4F0E831" w14:textId="2E45367C" w:rsidR="007E4D70" w:rsidRDefault="00000000" w:rsidP="006C230C">
      <w:pPr>
        <w:pStyle w:val="Heading1"/>
        <w:spacing w:after="0" w:line="360" w:lineRule="auto"/>
      </w:pPr>
      <w:r>
        <w:t>M2L1</w:t>
      </w:r>
      <w:r w:rsidR="007B68B9">
        <w:t>.</w:t>
      </w:r>
      <w:r>
        <w:t xml:space="preserve"> Human Intuitive Judgement</w:t>
      </w:r>
    </w:p>
    <w:p w14:paraId="2E28D872" w14:textId="77777777" w:rsidR="007B68B9" w:rsidRDefault="007B68B9" w:rsidP="006C230C">
      <w:pPr>
        <w:pStyle w:val="Script"/>
        <w:spacing w:before="120" w:after="0" w:line="360" w:lineRule="auto"/>
        <w:rPr>
          <w:rFonts w:ascii="Open Sans" w:hAnsi="Open Sans" w:cs="Open Sans"/>
          <w:sz w:val="24"/>
          <w:szCs w:val="24"/>
        </w:rPr>
      </w:pPr>
    </w:p>
    <w:p w14:paraId="72C38840" w14:textId="665E815E" w:rsidR="007B68B9" w:rsidRDefault="007B68B9" w:rsidP="006C230C">
      <w:pPr>
        <w:pStyle w:val="Heading2"/>
        <w:spacing w:before="120" w:line="360" w:lineRule="auto"/>
      </w:pPr>
      <w:r>
        <w:t>Slide #1</w:t>
      </w:r>
      <w:r>
        <w:rPr>
          <w:noProof/>
        </w:rPr>
        <w:drawing>
          <wp:inline distT="0" distB="0" distL="0" distR="0" wp14:anchorId="0C93471A" wp14:editId="3B765BCA">
            <wp:extent cx="5731510" cy="3210560"/>
            <wp:effectExtent l="0" t="0" r="2540" b="8890"/>
            <wp:docPr id="1378556167" name="Picture 1" descr="Human Intuitive Jud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56167" name="Picture 1" descr="Human Intuitive Judgmen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5984CBA9" w14:textId="77777777" w:rsidR="006C230C" w:rsidRDefault="007B68B9"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 xml:space="preserve">Human intuitive judgment plays a crucial role in decision making by allowing individuals to quickly process and respond to complex information based on past experiences and inherent cognitive shortcuts, often referred to as gut feeling or instinct. </w:t>
      </w:r>
    </w:p>
    <w:p w14:paraId="669A9D60" w14:textId="43136133" w:rsidR="007B68B9" w:rsidRPr="007B68B9" w:rsidRDefault="007B68B9"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 xml:space="preserve">This form of judgment enables people to make swift decisions when evidence is </w:t>
      </w:r>
      <w:proofErr w:type="gramStart"/>
      <w:r w:rsidRPr="007B68B9">
        <w:rPr>
          <w:rFonts w:ascii="Open Sans" w:hAnsi="Open Sans" w:cs="Open Sans"/>
          <w:sz w:val="24"/>
          <w:szCs w:val="24"/>
        </w:rPr>
        <w:t>incomplete</w:t>
      </w:r>
      <w:proofErr w:type="gramEnd"/>
      <w:r w:rsidRPr="007B68B9">
        <w:rPr>
          <w:rFonts w:ascii="Open Sans" w:hAnsi="Open Sans" w:cs="Open Sans"/>
          <w:sz w:val="24"/>
          <w:szCs w:val="24"/>
        </w:rPr>
        <w:t xml:space="preserve"> or time is limited.</w:t>
      </w:r>
    </w:p>
    <w:p w14:paraId="6C51399F" w14:textId="77777777" w:rsidR="006C230C" w:rsidRDefault="007B68B9"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 xml:space="preserve">While not flawless, intuition can provide valuable insights that complement analytical approaches. </w:t>
      </w:r>
    </w:p>
    <w:p w14:paraId="3954F1CA" w14:textId="5685F693" w:rsidR="007B68B9" w:rsidRDefault="007B68B9"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Balancing intuitive judgment with data driven critical thinking is important to mitigate potential cognitive biases and enhance overall decision quality.</w:t>
      </w:r>
    </w:p>
    <w:p w14:paraId="662C1894" w14:textId="349BC3E0" w:rsidR="007B68B9" w:rsidRDefault="007B68B9" w:rsidP="006C230C">
      <w:pPr>
        <w:pStyle w:val="Heading2"/>
        <w:spacing w:before="120" w:line="360" w:lineRule="auto"/>
      </w:pPr>
      <w:r>
        <w:lastRenderedPageBreak/>
        <w:t>Slide #2</w:t>
      </w:r>
      <w:r>
        <w:rPr>
          <w:noProof/>
        </w:rPr>
        <w:drawing>
          <wp:inline distT="0" distB="0" distL="0" distR="0" wp14:anchorId="2D2D9A4B" wp14:editId="6DFA6EB7">
            <wp:extent cx="5731510" cy="3230245"/>
            <wp:effectExtent l="0" t="0" r="2540" b="8255"/>
            <wp:docPr id="1995933861" name="Picture 2" descr="Judgment Biases: How human Beings Decide and Infl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3861" name="Picture 2" descr="Judgment Biases: How human Beings Decide and Influ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56CF181B" w14:textId="77777777" w:rsidR="007B68B9" w:rsidRPr="007B68B9" w:rsidRDefault="007B68B9"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Our brains are susceptible to psychological biases during decision making.</w:t>
      </w:r>
    </w:p>
    <w:p w14:paraId="73F0F4D3" w14:textId="77777777" w:rsidR="006C230C" w:rsidRDefault="007B68B9"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 xml:space="preserve">Common biases include confirmation bias, anchoring, framing, and the representative heuristic. </w:t>
      </w:r>
    </w:p>
    <w:p w14:paraId="13024A9D" w14:textId="77777777" w:rsidR="006C230C" w:rsidRDefault="007B68B9"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 xml:space="preserve">These cognitive behaviors enable quick </w:t>
      </w:r>
      <w:proofErr w:type="gramStart"/>
      <w:r w:rsidRPr="007B68B9">
        <w:rPr>
          <w:rFonts w:ascii="Open Sans" w:hAnsi="Open Sans" w:cs="Open Sans"/>
          <w:sz w:val="24"/>
          <w:szCs w:val="24"/>
        </w:rPr>
        <w:t>decisions, but</w:t>
      </w:r>
      <w:proofErr w:type="gramEnd"/>
      <w:r w:rsidRPr="007B68B9">
        <w:rPr>
          <w:rFonts w:ascii="Open Sans" w:hAnsi="Open Sans" w:cs="Open Sans"/>
          <w:sz w:val="24"/>
          <w:szCs w:val="24"/>
        </w:rPr>
        <w:t xml:space="preserve"> can prevent us from processing complete information. </w:t>
      </w:r>
    </w:p>
    <w:p w14:paraId="2AA16748" w14:textId="77777777" w:rsidR="006C230C" w:rsidRDefault="007B68B9"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 xml:space="preserve">In daily life, it is common to see people leveraging these biases to influence others. </w:t>
      </w:r>
    </w:p>
    <w:p w14:paraId="61DC95DA" w14:textId="59F517DD" w:rsidR="007B68B9" w:rsidRPr="007B68B9" w:rsidRDefault="007B68B9"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These biases are also fundamental to marketing tactics employed by businesses to persuade customers.</w:t>
      </w:r>
    </w:p>
    <w:p w14:paraId="5C7A1E39" w14:textId="666DC86D" w:rsidR="007B68B9" w:rsidRDefault="007B68B9"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 xml:space="preserve">To avoid unconsciously succumbing to </w:t>
      </w:r>
      <w:proofErr w:type="gramStart"/>
      <w:r w:rsidRPr="007B68B9">
        <w:rPr>
          <w:rFonts w:ascii="Open Sans" w:hAnsi="Open Sans" w:cs="Open Sans"/>
          <w:sz w:val="24"/>
          <w:szCs w:val="24"/>
        </w:rPr>
        <w:t>biases, it</w:t>
      </w:r>
      <w:proofErr w:type="gramEnd"/>
      <w:r w:rsidRPr="007B68B9">
        <w:rPr>
          <w:rFonts w:ascii="Open Sans" w:hAnsi="Open Sans" w:cs="Open Sans"/>
          <w:sz w:val="24"/>
          <w:szCs w:val="24"/>
        </w:rPr>
        <w:t xml:space="preserve"> is essential to recognize and overcome them in decision making.</w:t>
      </w:r>
    </w:p>
    <w:p w14:paraId="47982E12" w14:textId="5121E867" w:rsidR="007B68B9" w:rsidRDefault="007B68B9" w:rsidP="006C230C">
      <w:pPr>
        <w:pStyle w:val="Heading2"/>
        <w:spacing w:before="120" w:line="360" w:lineRule="auto"/>
      </w:pPr>
      <w:r>
        <w:lastRenderedPageBreak/>
        <w:t>Slide #3</w:t>
      </w:r>
      <w:r>
        <w:rPr>
          <w:noProof/>
        </w:rPr>
        <w:drawing>
          <wp:inline distT="0" distB="0" distL="0" distR="0" wp14:anchorId="3DD7D39B" wp14:editId="196FB834">
            <wp:extent cx="5731510" cy="3208655"/>
            <wp:effectExtent l="0" t="0" r="2540" b="0"/>
            <wp:docPr id="811766624" name="Picture 3" descr="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6624" name="Picture 3" descr="Confirmation"/>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417D5A28" w14:textId="77777777" w:rsidR="006C230C" w:rsidRDefault="007B68B9"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 xml:space="preserve">Confirmation bias is the tendency to search for, interpret, favor, and recall information that confirms one's </w:t>
      </w:r>
      <w:r w:rsidR="006C230C" w:rsidRPr="007B68B9">
        <w:rPr>
          <w:rFonts w:ascii="Open Sans" w:hAnsi="Open Sans" w:cs="Open Sans"/>
          <w:sz w:val="24"/>
          <w:szCs w:val="24"/>
        </w:rPr>
        <w:t>preexisting</w:t>
      </w:r>
      <w:r w:rsidRPr="007B68B9">
        <w:rPr>
          <w:rFonts w:ascii="Open Sans" w:hAnsi="Open Sans" w:cs="Open Sans"/>
          <w:sz w:val="24"/>
          <w:szCs w:val="24"/>
        </w:rPr>
        <w:t xml:space="preserve"> beliefs or hypotheses. </w:t>
      </w:r>
    </w:p>
    <w:p w14:paraId="29481D44" w14:textId="2ED521C5" w:rsidR="007B68B9" w:rsidRPr="007B68B9" w:rsidRDefault="007B68B9"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For example, a person who believes in a specific political ideology may only read news sources that align with their views and dismiss or ignore contrary evidence.</w:t>
      </w:r>
    </w:p>
    <w:p w14:paraId="2120B33B" w14:textId="4E977FE9" w:rsidR="007B68B9" w:rsidRDefault="007B68B9"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Similarly, someone convinced that a particular diet is the best may selectively remember studies supporting it while disregarding evidence to the contrary.</w:t>
      </w:r>
    </w:p>
    <w:p w14:paraId="5BB96221" w14:textId="1010FBF8" w:rsidR="007B68B9" w:rsidRDefault="007B68B9" w:rsidP="006C230C">
      <w:pPr>
        <w:pStyle w:val="Heading2"/>
        <w:spacing w:before="120" w:line="360" w:lineRule="auto"/>
      </w:pPr>
      <w:r>
        <w:lastRenderedPageBreak/>
        <w:t>Slide #4</w:t>
      </w:r>
      <w:r>
        <w:rPr>
          <w:noProof/>
        </w:rPr>
        <w:drawing>
          <wp:inline distT="0" distB="0" distL="0" distR="0" wp14:anchorId="727A4703" wp14:editId="2E8AAF31">
            <wp:extent cx="5731510" cy="3230245"/>
            <wp:effectExtent l="0" t="0" r="2540" b="8255"/>
            <wp:docPr id="812110832" name="Picture 4" descr="Anch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10832" name="Picture 4" descr="Anchori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5BD279CF" w14:textId="77777777" w:rsidR="006C230C" w:rsidRDefault="007B68B9"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 xml:space="preserve">Anchoring is the cognitive bias where individuals rely too heavily on the first piece of information when making decisions. </w:t>
      </w:r>
    </w:p>
    <w:p w14:paraId="6ADB2733" w14:textId="00F89756" w:rsidR="007B68B9" w:rsidRPr="007B68B9" w:rsidRDefault="007B68B9"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For instance, during a salary negotiation, if the employer initially suggests a low salary, this can set a lower anchor point, influencing the final agreed upon salary to be lower than if a higher initial offer had been made.</w:t>
      </w:r>
    </w:p>
    <w:p w14:paraId="1736EA76" w14:textId="747BB859" w:rsidR="007B68B9" w:rsidRDefault="007B68B9"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Similarly, if a car dealership starts negotiations with a high price, the final sale price is likely to be higher than if a lower initial price was offered.</w:t>
      </w:r>
    </w:p>
    <w:p w14:paraId="56A5A691" w14:textId="3C885667" w:rsidR="007B68B9" w:rsidRDefault="007B68B9" w:rsidP="006C230C">
      <w:pPr>
        <w:pStyle w:val="Heading2"/>
        <w:spacing w:before="120" w:line="360" w:lineRule="auto"/>
      </w:pPr>
      <w:r>
        <w:lastRenderedPageBreak/>
        <w:t>Slide #5</w:t>
      </w:r>
      <w:r>
        <w:rPr>
          <w:noProof/>
        </w:rPr>
        <w:drawing>
          <wp:inline distT="0" distB="0" distL="0" distR="0" wp14:anchorId="3537B00F" wp14:editId="265F3BED">
            <wp:extent cx="5731510" cy="3242945"/>
            <wp:effectExtent l="0" t="0" r="2540" b="0"/>
            <wp:docPr id="1098003924" name="Picture 5" descr="Framing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03924" name="Picture 5" descr="Framing Eff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42945"/>
                    </a:xfrm>
                    <a:prstGeom prst="rect">
                      <a:avLst/>
                    </a:prstGeom>
                  </pic:spPr>
                </pic:pic>
              </a:graphicData>
            </a:graphic>
          </wp:inline>
        </w:drawing>
      </w:r>
    </w:p>
    <w:p w14:paraId="42016600" w14:textId="77777777" w:rsidR="006C230C" w:rsidRDefault="007B68B9"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 xml:space="preserve">The framing effect occurs when people make different decisions based on how the same information is presented, either positively or negatively. </w:t>
      </w:r>
    </w:p>
    <w:p w14:paraId="19F3F5A2" w14:textId="74ED1B70" w:rsidR="007B68B9" w:rsidRPr="007B68B9" w:rsidRDefault="007B68B9"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For example, a medical treatment has a 90</w:t>
      </w:r>
      <w:r w:rsidR="006C230C">
        <w:rPr>
          <w:rFonts w:ascii="Open Sans" w:hAnsi="Open Sans" w:cs="Open Sans"/>
          <w:sz w:val="24"/>
          <w:szCs w:val="24"/>
        </w:rPr>
        <w:t xml:space="preserve">% </w:t>
      </w:r>
      <w:r w:rsidRPr="007B68B9">
        <w:rPr>
          <w:rFonts w:ascii="Open Sans" w:hAnsi="Open Sans" w:cs="Open Sans"/>
          <w:sz w:val="24"/>
          <w:szCs w:val="24"/>
        </w:rPr>
        <w:t>survival rate, if presented as a 90</w:t>
      </w:r>
      <w:r w:rsidR="006C230C">
        <w:rPr>
          <w:rFonts w:ascii="Open Sans" w:hAnsi="Open Sans" w:cs="Open Sans"/>
          <w:sz w:val="24"/>
          <w:szCs w:val="24"/>
        </w:rPr>
        <w:t xml:space="preserve">% </w:t>
      </w:r>
      <w:r w:rsidRPr="007B68B9">
        <w:rPr>
          <w:rFonts w:ascii="Open Sans" w:hAnsi="Open Sans" w:cs="Open Sans"/>
          <w:sz w:val="24"/>
          <w:szCs w:val="24"/>
        </w:rPr>
        <w:t>chance of survival.</w:t>
      </w:r>
    </w:p>
    <w:p w14:paraId="7EB79476" w14:textId="77777777" w:rsidR="006C230C" w:rsidRDefault="007B68B9"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It seems more favorable than if described as a 10</w:t>
      </w:r>
      <w:r w:rsidR="006C230C">
        <w:rPr>
          <w:rFonts w:ascii="Open Sans" w:hAnsi="Open Sans" w:cs="Open Sans"/>
          <w:sz w:val="24"/>
          <w:szCs w:val="24"/>
        </w:rPr>
        <w:t xml:space="preserve">% </w:t>
      </w:r>
      <w:r w:rsidRPr="007B68B9">
        <w:rPr>
          <w:rFonts w:ascii="Open Sans" w:hAnsi="Open Sans" w:cs="Open Sans"/>
          <w:sz w:val="24"/>
          <w:szCs w:val="24"/>
        </w:rPr>
        <w:t xml:space="preserve">chance of death, even though both statements convey the same information. </w:t>
      </w:r>
    </w:p>
    <w:p w14:paraId="459EFB20" w14:textId="3BA78A8A" w:rsidR="007B68B9" w:rsidRDefault="007B68B9"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 xml:space="preserve">This can affect </w:t>
      </w:r>
      <w:proofErr w:type="gramStart"/>
      <w:r w:rsidRPr="007B68B9">
        <w:rPr>
          <w:rFonts w:ascii="Open Sans" w:hAnsi="Open Sans" w:cs="Open Sans"/>
          <w:sz w:val="24"/>
          <w:szCs w:val="24"/>
        </w:rPr>
        <w:t>patient</w:t>
      </w:r>
      <w:r w:rsidR="006C230C">
        <w:rPr>
          <w:rFonts w:ascii="Open Sans" w:hAnsi="Open Sans" w:cs="Open Sans"/>
          <w:sz w:val="24"/>
          <w:szCs w:val="24"/>
        </w:rPr>
        <w:t>’</w:t>
      </w:r>
      <w:r w:rsidRPr="007B68B9">
        <w:rPr>
          <w:rFonts w:ascii="Open Sans" w:hAnsi="Open Sans" w:cs="Open Sans"/>
          <w:sz w:val="24"/>
          <w:szCs w:val="24"/>
        </w:rPr>
        <w:t>s</w:t>
      </w:r>
      <w:proofErr w:type="gramEnd"/>
      <w:r w:rsidRPr="007B68B9">
        <w:rPr>
          <w:rFonts w:ascii="Open Sans" w:hAnsi="Open Sans" w:cs="Open Sans"/>
          <w:sz w:val="24"/>
          <w:szCs w:val="24"/>
        </w:rPr>
        <w:t xml:space="preserve"> treatment choices significantly.</w:t>
      </w:r>
    </w:p>
    <w:p w14:paraId="1078875D" w14:textId="0D5319B3" w:rsidR="007B68B9" w:rsidRDefault="007B68B9" w:rsidP="006C230C">
      <w:pPr>
        <w:pStyle w:val="Heading2"/>
        <w:spacing w:before="120" w:line="360" w:lineRule="auto"/>
      </w:pPr>
      <w:r>
        <w:lastRenderedPageBreak/>
        <w:t>Slide #6</w:t>
      </w:r>
      <w:r>
        <w:rPr>
          <w:noProof/>
        </w:rPr>
        <w:drawing>
          <wp:inline distT="0" distB="0" distL="0" distR="0" wp14:anchorId="0149DE20" wp14:editId="3CABD034">
            <wp:extent cx="5731510" cy="3215640"/>
            <wp:effectExtent l="0" t="0" r="2540" b="3810"/>
            <wp:docPr id="899608322" name="Picture 6" descr="Representativeness Heur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08322" name="Picture 6" descr="Representativeness Heuristic"/>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14:paraId="7EA68062" w14:textId="4469627C" w:rsidR="007E4D70" w:rsidRPr="007B68B9" w:rsidRDefault="00000000"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 xml:space="preserve">The representativeness heuristic is a cognitive shortcut where people judge the probability or frequency of an event by how much it resembles a typical case or </w:t>
      </w:r>
      <w:proofErr w:type="gramStart"/>
      <w:r w:rsidRPr="007B68B9">
        <w:rPr>
          <w:rFonts w:ascii="Open Sans" w:hAnsi="Open Sans" w:cs="Open Sans"/>
          <w:sz w:val="24"/>
          <w:szCs w:val="24"/>
        </w:rPr>
        <w:t>prototype</w:t>
      </w:r>
      <w:proofErr w:type="gramEnd"/>
      <w:r w:rsidRPr="007B68B9">
        <w:rPr>
          <w:rFonts w:ascii="Open Sans" w:hAnsi="Open Sans" w:cs="Open Sans"/>
          <w:sz w:val="24"/>
          <w:szCs w:val="24"/>
        </w:rPr>
        <w:t xml:space="preserve"> they have in mind.</w:t>
      </w:r>
    </w:p>
    <w:p w14:paraId="6FD1705D" w14:textId="77777777" w:rsidR="006C230C" w:rsidRDefault="00000000"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 xml:space="preserve">Essentially, individuals use similarity to a stereotype or experience as a basis for making judgments, often ignoring other relevant statistical information. </w:t>
      </w:r>
    </w:p>
    <w:p w14:paraId="6F0F3939" w14:textId="77777777" w:rsidR="006C230C" w:rsidRDefault="00000000"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 xml:space="preserve">For instance, a hiring manager at a tech company might favor a graduate candidate from a prestigious university. </w:t>
      </w:r>
    </w:p>
    <w:p w14:paraId="54981D12" w14:textId="50D0A322" w:rsidR="007E4D70" w:rsidRPr="007B68B9" w:rsidRDefault="00000000"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Because he fits the prototype of a successful software engineer, despite other candidates potentially having equally strong, or even better practical skills and experiences.</w:t>
      </w:r>
    </w:p>
    <w:p w14:paraId="6AA023E9" w14:textId="77777777" w:rsidR="007E4D70" w:rsidRPr="007B68B9" w:rsidRDefault="00000000" w:rsidP="006C230C">
      <w:pPr>
        <w:pStyle w:val="Script"/>
        <w:spacing w:before="120" w:after="0" w:line="360" w:lineRule="auto"/>
        <w:rPr>
          <w:rFonts w:ascii="Open Sans" w:hAnsi="Open Sans" w:cs="Open Sans"/>
          <w:sz w:val="24"/>
          <w:szCs w:val="24"/>
        </w:rPr>
      </w:pPr>
      <w:r w:rsidRPr="007B68B9">
        <w:rPr>
          <w:rFonts w:ascii="Open Sans" w:hAnsi="Open Sans" w:cs="Open Sans"/>
          <w:sz w:val="24"/>
          <w:szCs w:val="24"/>
        </w:rPr>
        <w:t>In the following lectures, we will explain these intuitive processes and how to manage them in decision making.</w:t>
      </w:r>
    </w:p>
    <w:sectPr w:rsidR="007E4D70" w:rsidRPr="007B68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B83772"/>
    <w:multiLevelType w:val="hybridMultilevel"/>
    <w:tmpl w:val="ABFE9CBA"/>
    <w:lvl w:ilvl="0" w:tplc="03508094">
      <w:start w:val="1"/>
      <w:numFmt w:val="bullet"/>
      <w:lvlText w:val="●"/>
      <w:lvlJc w:val="left"/>
      <w:pPr>
        <w:ind w:left="720" w:hanging="360"/>
      </w:pPr>
    </w:lvl>
    <w:lvl w:ilvl="1" w:tplc="5330B8D2">
      <w:start w:val="1"/>
      <w:numFmt w:val="bullet"/>
      <w:lvlText w:val="○"/>
      <w:lvlJc w:val="left"/>
      <w:pPr>
        <w:ind w:left="1440" w:hanging="360"/>
      </w:pPr>
    </w:lvl>
    <w:lvl w:ilvl="2" w:tplc="02FE1B16">
      <w:start w:val="1"/>
      <w:numFmt w:val="bullet"/>
      <w:lvlText w:val="■"/>
      <w:lvlJc w:val="left"/>
      <w:pPr>
        <w:ind w:left="2160" w:hanging="360"/>
      </w:pPr>
    </w:lvl>
    <w:lvl w:ilvl="3" w:tplc="9344332A">
      <w:start w:val="1"/>
      <w:numFmt w:val="bullet"/>
      <w:lvlText w:val="●"/>
      <w:lvlJc w:val="left"/>
      <w:pPr>
        <w:ind w:left="2880" w:hanging="360"/>
      </w:pPr>
    </w:lvl>
    <w:lvl w:ilvl="4" w:tplc="3DDA4668">
      <w:start w:val="1"/>
      <w:numFmt w:val="bullet"/>
      <w:lvlText w:val="○"/>
      <w:lvlJc w:val="left"/>
      <w:pPr>
        <w:ind w:left="3600" w:hanging="360"/>
      </w:pPr>
    </w:lvl>
    <w:lvl w:ilvl="5" w:tplc="997212C6">
      <w:start w:val="1"/>
      <w:numFmt w:val="bullet"/>
      <w:lvlText w:val="■"/>
      <w:lvlJc w:val="left"/>
      <w:pPr>
        <w:ind w:left="4320" w:hanging="360"/>
      </w:pPr>
    </w:lvl>
    <w:lvl w:ilvl="6" w:tplc="A43AB64C">
      <w:start w:val="1"/>
      <w:numFmt w:val="bullet"/>
      <w:lvlText w:val="●"/>
      <w:lvlJc w:val="left"/>
      <w:pPr>
        <w:ind w:left="5040" w:hanging="360"/>
      </w:pPr>
    </w:lvl>
    <w:lvl w:ilvl="7" w:tplc="306ADA4E">
      <w:start w:val="1"/>
      <w:numFmt w:val="bullet"/>
      <w:lvlText w:val="●"/>
      <w:lvlJc w:val="left"/>
      <w:pPr>
        <w:ind w:left="5760" w:hanging="360"/>
      </w:pPr>
    </w:lvl>
    <w:lvl w:ilvl="8" w:tplc="7A0C9C1C">
      <w:start w:val="1"/>
      <w:numFmt w:val="bullet"/>
      <w:lvlText w:val="●"/>
      <w:lvlJc w:val="left"/>
      <w:pPr>
        <w:ind w:left="6480" w:hanging="360"/>
      </w:pPr>
    </w:lvl>
  </w:abstractNum>
  <w:num w:numId="1" w16cid:durableId="650250590">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4D70"/>
    <w:rsid w:val="005B279D"/>
    <w:rsid w:val="006C230C"/>
    <w:rsid w:val="007B68B9"/>
    <w:rsid w:val="007E4D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935D5"/>
  <w15:docId w15:val="{C11644EB-7F22-4EDF-8631-6B8B62FB7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7B68B9"/>
    <w:pPr>
      <w:spacing w:before="120" w:after="260"/>
      <w:jc w:val="center"/>
      <w:outlineLvl w:val="0"/>
    </w:pPr>
    <w:rPr>
      <w:rFonts w:ascii="Open Sans" w:hAnsi="Open Sans"/>
      <w:b/>
      <w:bCs/>
      <w:sz w:val="36"/>
      <w:szCs w:val="48"/>
    </w:rPr>
  </w:style>
  <w:style w:type="paragraph" w:styleId="Heading2">
    <w:name w:val="heading 2"/>
    <w:uiPriority w:val="9"/>
    <w:unhideWhenUsed/>
    <w:qFormat/>
    <w:rsid w:val="007B68B9"/>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513</Words>
  <Characters>2925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M2L1 - Human Intuitive Judgement</vt:lpstr>
    </vt:vector>
  </TitlesOfParts>
  <Company/>
  <LinksUpToDate>false</LinksUpToDate>
  <CharactersWithSpaces>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Intuitive Judgement</dc:title>
  <dc:creator>Un-named</dc:creator>
  <cp:lastModifiedBy>Williams, Elisabeth G</cp:lastModifiedBy>
  <cp:revision>2</cp:revision>
  <cp:lastPrinted>2024-07-24T16:21:00Z</cp:lastPrinted>
  <dcterms:created xsi:type="dcterms:W3CDTF">2024-07-24T16:21:00Z</dcterms:created>
  <dcterms:modified xsi:type="dcterms:W3CDTF">2024-07-24T16:21:00Z</dcterms:modified>
</cp:coreProperties>
</file>